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3B" w:rsidRDefault="00C74E3B" w:rsidP="00C74E3B">
      <w:pPr>
        <w:pStyle w:val="30"/>
        <w:shd w:val="clear" w:color="auto" w:fill="auto"/>
        <w:jc w:val="right"/>
        <w:rPr>
          <w:i/>
        </w:rPr>
      </w:pPr>
      <w:r>
        <w:rPr>
          <w:i/>
        </w:rPr>
        <w:t>ПРОЕКТ</w:t>
      </w:r>
    </w:p>
    <w:p w:rsidR="001022F6" w:rsidRPr="0098413C" w:rsidRDefault="001022F6" w:rsidP="001022F6">
      <w:pPr>
        <w:pStyle w:val="30"/>
        <w:shd w:val="clear" w:color="auto" w:fill="auto"/>
        <w:rPr>
          <w:i/>
        </w:rPr>
      </w:pPr>
      <w:r w:rsidRPr="0098413C">
        <w:rPr>
          <w:i/>
        </w:rPr>
        <w:t xml:space="preserve">АДМИНИСТРАЦИЯ МУНИЦИПАЛЬНОГО ОБРАЗОВАНИЯ «СТАРОКУЛАТКИНСКИЙ РАЙОН» </w:t>
      </w:r>
    </w:p>
    <w:p w:rsidR="001022F6" w:rsidRPr="0098413C" w:rsidRDefault="001022F6" w:rsidP="001022F6">
      <w:pPr>
        <w:pStyle w:val="30"/>
        <w:shd w:val="clear" w:color="auto" w:fill="auto"/>
        <w:rPr>
          <w:i/>
        </w:rPr>
      </w:pPr>
      <w:r w:rsidRPr="0098413C">
        <w:rPr>
          <w:i/>
        </w:rPr>
        <w:t>УЛЬЯНОВСКОЙ ОБЛАСТИ</w:t>
      </w:r>
    </w:p>
    <w:p w:rsidR="001022F6" w:rsidRDefault="001022F6" w:rsidP="001022F6">
      <w:pPr>
        <w:pStyle w:val="30"/>
        <w:shd w:val="clear" w:color="auto" w:fill="auto"/>
      </w:pPr>
    </w:p>
    <w:p w:rsidR="001022F6" w:rsidRDefault="001022F6" w:rsidP="001022F6">
      <w:pPr>
        <w:pStyle w:val="10"/>
        <w:keepNext/>
        <w:keepLines/>
        <w:shd w:val="clear" w:color="auto" w:fill="auto"/>
        <w:spacing w:line="380" w:lineRule="exact"/>
      </w:pPr>
      <w:bookmarkStart w:id="0" w:name="bookmark0"/>
    </w:p>
    <w:p w:rsidR="001022F6" w:rsidRPr="0098413C" w:rsidRDefault="001022F6" w:rsidP="001022F6">
      <w:pPr>
        <w:pStyle w:val="10"/>
        <w:keepNext/>
        <w:keepLines/>
        <w:shd w:val="clear" w:color="auto" w:fill="auto"/>
        <w:spacing w:line="380" w:lineRule="exact"/>
        <w:rPr>
          <w:rFonts w:ascii="Times New Roman" w:hAnsi="Times New Roman" w:cs="Times New Roman"/>
        </w:rPr>
      </w:pPr>
      <w:r w:rsidRPr="0098413C">
        <w:rPr>
          <w:rFonts w:ascii="Times New Roman" w:hAnsi="Times New Roman" w:cs="Times New Roman"/>
        </w:rPr>
        <w:t>ПОСТАНОВЛЕНИЕ</w:t>
      </w:r>
      <w:bookmarkEnd w:id="0"/>
    </w:p>
    <w:p w:rsidR="001022F6" w:rsidRPr="001022F6" w:rsidRDefault="001022F6" w:rsidP="001022F6">
      <w:pPr>
        <w:spacing w:before="91" w:after="9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022F6" w:rsidRPr="001022F6" w:rsidRDefault="001022F6" w:rsidP="001022F6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  </w:t>
      </w:r>
      <w:r w:rsidRPr="00102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102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202</w:t>
      </w:r>
      <w:r w:rsidR="00C74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02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       р.п. Старая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102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улатка                              №</w:t>
      </w:r>
    </w:p>
    <w:p w:rsidR="001022F6" w:rsidRPr="001022F6" w:rsidRDefault="001022F6" w:rsidP="001022F6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22F6" w:rsidRPr="001022F6" w:rsidRDefault="001022F6" w:rsidP="001022F6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12BDB" w:rsidRPr="00771212" w:rsidRDefault="00B12BDB" w:rsidP="00B12BD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C32B6"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 w:rsidRPr="001C32B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</w:t>
      </w:r>
      <w:r w:rsidR="00C74E3B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 ценностям</w:t>
      </w:r>
      <w:r w:rsidRPr="001C32B6"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103E" w:rsidRPr="0056143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103E">
        <w:rPr>
          <w:rFonts w:ascii="Times New Roman" w:hAnsi="Times New Roman" w:cs="Times New Roman"/>
          <w:b/>
          <w:sz w:val="28"/>
          <w:szCs w:val="28"/>
        </w:rPr>
        <w:t xml:space="preserve">муниципальному земельному контролю </w:t>
      </w:r>
      <w:r w:rsidR="00E2103E"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74E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103E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2103E" w:rsidRPr="0077121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71212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E2103E">
        <w:rPr>
          <w:rFonts w:ascii="PT Astra Serif" w:hAnsi="PT Astra Serif"/>
          <w:b/>
          <w:bCs/>
          <w:sz w:val="28"/>
          <w:szCs w:val="28"/>
        </w:rPr>
        <w:t>Старокулаткинский</w:t>
      </w:r>
      <w:proofErr w:type="spellEnd"/>
      <w:r w:rsidRPr="00771212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12BDB" w:rsidRPr="00771212" w:rsidRDefault="00B12BDB" w:rsidP="00B12BDB">
      <w:pPr>
        <w:jc w:val="both"/>
        <w:rPr>
          <w:rFonts w:ascii="PT Astra Serif" w:hAnsi="PT Astra Serif"/>
          <w:sz w:val="28"/>
          <w:szCs w:val="28"/>
        </w:rPr>
      </w:pPr>
    </w:p>
    <w:p w:rsidR="00B12BDB" w:rsidRPr="00927FBB" w:rsidRDefault="00B12BDB" w:rsidP="00B12BDB">
      <w:pPr>
        <w:jc w:val="both"/>
        <w:rPr>
          <w:rFonts w:ascii="PT Astra Serif" w:hAnsi="PT Astra Serif"/>
          <w:sz w:val="28"/>
          <w:szCs w:val="28"/>
        </w:rPr>
      </w:pPr>
      <w:r w:rsidRPr="00771212">
        <w:rPr>
          <w:rFonts w:ascii="PT Astra Serif" w:hAnsi="PT Astra Serif"/>
          <w:sz w:val="28"/>
          <w:szCs w:val="28"/>
        </w:rPr>
        <w:tab/>
      </w:r>
      <w:r w:rsidRPr="0055130C">
        <w:rPr>
          <w:rFonts w:ascii="PT Astra Serif" w:hAnsi="PT Astra Serif"/>
          <w:color w:val="000000" w:themeColor="text1"/>
          <w:sz w:val="28"/>
          <w:szCs w:val="28"/>
        </w:rPr>
        <w:t>В соответствии со статьей 44 Федерального закона от 31 июля 2020 года   № 248-ФЗ «О государственном контроле (надзоре) и муниципальном контроле в Российской Федерации»,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130C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73266">
        <w:rPr>
          <w:rFonts w:ascii="PT Astra Serif" w:hAnsi="PT Astra Serif"/>
          <w:sz w:val="28"/>
          <w:szCs w:val="28"/>
        </w:rPr>
        <w:t>администрация муниципального образования «</w:t>
      </w:r>
      <w:proofErr w:type="spellStart"/>
      <w:r w:rsidR="00E2103E">
        <w:rPr>
          <w:rFonts w:ascii="PT Astra Serif" w:hAnsi="PT Astra Serif"/>
          <w:sz w:val="28"/>
          <w:szCs w:val="28"/>
        </w:rPr>
        <w:t>Старокулаткинский</w:t>
      </w:r>
      <w:proofErr w:type="spellEnd"/>
      <w:r w:rsidRPr="00273266">
        <w:rPr>
          <w:rFonts w:ascii="PT Astra Serif" w:hAnsi="PT Astra Serif"/>
          <w:sz w:val="28"/>
          <w:szCs w:val="28"/>
        </w:rPr>
        <w:t xml:space="preserve"> район», 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273266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о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с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т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а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73266">
        <w:rPr>
          <w:rFonts w:ascii="PT Astra Serif" w:hAnsi="PT Astra Serif"/>
          <w:sz w:val="28"/>
          <w:szCs w:val="28"/>
        </w:rPr>
        <w:t>н</w:t>
      </w:r>
      <w:proofErr w:type="spellEnd"/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о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в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л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я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е</w:t>
      </w:r>
      <w:r w:rsidR="00E2103E">
        <w:rPr>
          <w:rFonts w:ascii="PT Astra Serif" w:hAnsi="PT Astra Serif"/>
          <w:sz w:val="28"/>
          <w:szCs w:val="28"/>
        </w:rPr>
        <w:t xml:space="preserve"> </w:t>
      </w:r>
      <w:r w:rsidRPr="00273266">
        <w:rPr>
          <w:rFonts w:ascii="PT Astra Serif" w:hAnsi="PT Astra Serif"/>
          <w:sz w:val="28"/>
          <w:szCs w:val="28"/>
        </w:rPr>
        <w:t>т</w:t>
      </w:r>
      <w:r w:rsidRPr="00927FBB">
        <w:rPr>
          <w:rFonts w:ascii="PT Astra Serif" w:hAnsi="PT Astra Serif"/>
          <w:sz w:val="28"/>
          <w:szCs w:val="28"/>
        </w:rPr>
        <w:t>:</w:t>
      </w:r>
    </w:p>
    <w:p w:rsidR="00B12BDB" w:rsidRPr="0055130C" w:rsidRDefault="00B12BDB" w:rsidP="00B12BDB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1C32B6">
        <w:rPr>
          <w:rFonts w:ascii="PT Astra Serif" w:hAnsi="PT Astra Serif"/>
          <w:sz w:val="28"/>
          <w:szCs w:val="28"/>
        </w:rPr>
        <w:t xml:space="preserve">1. </w:t>
      </w:r>
      <w:r w:rsidRPr="001C32B6"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 w:rsidRPr="001C32B6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E2103E" w:rsidRPr="00D15A85"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контролю </w:t>
      </w:r>
      <w:r w:rsidR="00E2103E" w:rsidRPr="00D15A85">
        <w:rPr>
          <w:rFonts w:ascii="Times New Roman" w:hAnsi="Times New Roman" w:cs="Times New Roman"/>
          <w:bCs/>
          <w:sz w:val="28"/>
          <w:szCs w:val="28"/>
        </w:rPr>
        <w:t>на 202</w:t>
      </w:r>
      <w:r w:rsidR="00C74E3B">
        <w:rPr>
          <w:rFonts w:ascii="Times New Roman" w:hAnsi="Times New Roman" w:cs="Times New Roman"/>
          <w:bCs/>
          <w:sz w:val="28"/>
          <w:szCs w:val="28"/>
        </w:rPr>
        <w:t>5</w:t>
      </w:r>
      <w:r w:rsidR="00E2103E" w:rsidRPr="00D15A8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1C32B6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="00E2103E">
        <w:rPr>
          <w:rFonts w:ascii="PT Astra Serif" w:hAnsi="PT Astra Serif"/>
          <w:bCs/>
          <w:sz w:val="28"/>
          <w:szCs w:val="28"/>
        </w:rPr>
        <w:t>Старокулаткинский</w:t>
      </w:r>
      <w:proofErr w:type="spellEnd"/>
      <w:r w:rsidRPr="001C32B6">
        <w:rPr>
          <w:rFonts w:ascii="PT Astra Serif" w:hAnsi="PT Astra Serif"/>
          <w:bCs/>
          <w:sz w:val="28"/>
          <w:szCs w:val="28"/>
        </w:rPr>
        <w:t xml:space="preserve"> район» Ульяновской области </w:t>
      </w:r>
      <w:r>
        <w:rPr>
          <w:rFonts w:ascii="PT Astra Serif" w:hAnsi="PT Astra Serif"/>
          <w:bCs/>
          <w:sz w:val="28"/>
          <w:szCs w:val="28"/>
        </w:rPr>
        <w:t xml:space="preserve"> (приложение № 1)</w:t>
      </w:r>
      <w:r w:rsidRPr="0055130C">
        <w:rPr>
          <w:rFonts w:ascii="PT Astra Serif" w:hAnsi="PT Astra Serif"/>
          <w:sz w:val="28"/>
          <w:szCs w:val="28"/>
        </w:rPr>
        <w:t>.</w:t>
      </w:r>
    </w:p>
    <w:p w:rsidR="00B12BDB" w:rsidRPr="00962410" w:rsidRDefault="00B12BDB" w:rsidP="00B12BD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62410">
        <w:rPr>
          <w:rFonts w:ascii="PT Astra Serif" w:hAnsi="PT Astra Serif"/>
          <w:sz w:val="28"/>
          <w:szCs w:val="28"/>
        </w:rPr>
        <w:t xml:space="preserve">. </w:t>
      </w:r>
      <w:r w:rsidR="00E2103E" w:rsidRPr="0010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вступает в силу с момента  его официального о</w:t>
      </w:r>
      <w:r w:rsidR="002544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бнародования</w:t>
      </w:r>
      <w:r w:rsidRPr="007464A0">
        <w:rPr>
          <w:rFonts w:ascii="PT Astra Serif" w:hAnsi="PT Astra Serif"/>
          <w:bCs/>
          <w:sz w:val="28"/>
          <w:szCs w:val="28"/>
        </w:rPr>
        <w:t>.</w:t>
      </w:r>
    </w:p>
    <w:p w:rsidR="00B12BDB" w:rsidRPr="00962410" w:rsidRDefault="00B12BDB" w:rsidP="00B12BDB">
      <w:pPr>
        <w:jc w:val="both"/>
        <w:rPr>
          <w:rFonts w:ascii="PT Astra Serif" w:hAnsi="PT Astra Serif"/>
          <w:sz w:val="28"/>
          <w:szCs w:val="28"/>
        </w:rPr>
      </w:pPr>
    </w:p>
    <w:p w:rsidR="00E2103E" w:rsidRPr="001022F6" w:rsidRDefault="00C74E3B" w:rsidP="00E2103E">
      <w:pPr>
        <w:spacing w:before="91" w:after="9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И.о. </w:t>
      </w:r>
      <w:r w:rsidR="00E2103E" w:rsidRPr="0010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E2103E" w:rsidRPr="0010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                                                      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E2103E" w:rsidRPr="00102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Ахмедов</w:t>
      </w:r>
    </w:p>
    <w:p w:rsidR="00B12BDB" w:rsidRPr="00771212" w:rsidRDefault="00B12BDB" w:rsidP="00B12BDB">
      <w:pPr>
        <w:jc w:val="both"/>
        <w:rPr>
          <w:rFonts w:ascii="PT Astra Serif" w:hAnsi="PT Astra Serif"/>
          <w:sz w:val="28"/>
          <w:szCs w:val="28"/>
        </w:rPr>
      </w:pPr>
    </w:p>
    <w:p w:rsidR="00B12BDB" w:rsidRPr="00771212" w:rsidRDefault="00B12BDB" w:rsidP="00B12BDB">
      <w:pPr>
        <w:jc w:val="both"/>
        <w:rPr>
          <w:rFonts w:ascii="PT Astra Serif" w:hAnsi="PT Astra Serif"/>
          <w:sz w:val="28"/>
          <w:szCs w:val="28"/>
        </w:rPr>
      </w:pPr>
    </w:p>
    <w:p w:rsidR="00B12BDB" w:rsidRPr="00771212" w:rsidRDefault="00B12BDB" w:rsidP="00B12BD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horzAnchor="margin" w:tblpY="-652"/>
        <w:tblW w:w="9869" w:type="dxa"/>
        <w:tblLook w:val="04A0"/>
      </w:tblPr>
      <w:tblGrid>
        <w:gridCol w:w="3259"/>
        <w:gridCol w:w="799"/>
        <w:gridCol w:w="5811"/>
      </w:tblGrid>
      <w:tr w:rsidR="00B12BDB" w:rsidRPr="00182964" w:rsidTr="00E72552">
        <w:trPr>
          <w:trHeight w:val="1981"/>
        </w:trPr>
        <w:tc>
          <w:tcPr>
            <w:tcW w:w="3259" w:type="dxa"/>
          </w:tcPr>
          <w:p w:rsidR="00B12BDB" w:rsidRPr="00182964" w:rsidRDefault="00B12BDB" w:rsidP="00134B3F">
            <w:pPr>
              <w:jc w:val="center"/>
              <w:rPr>
                <w:rFonts w:ascii="PT Astra Serif" w:hAnsi="PT Astra Serif"/>
                <w:sz w:val="28"/>
                <w:lang w:eastAsia="ru-RU"/>
              </w:rPr>
            </w:pPr>
          </w:p>
        </w:tc>
        <w:tc>
          <w:tcPr>
            <w:tcW w:w="799" w:type="dxa"/>
          </w:tcPr>
          <w:p w:rsidR="00B12BDB" w:rsidRPr="00182964" w:rsidRDefault="00B12BDB" w:rsidP="00134B3F">
            <w:pPr>
              <w:jc w:val="center"/>
              <w:rPr>
                <w:rFonts w:ascii="PT Astra Serif" w:hAnsi="PT Astra Serif"/>
                <w:sz w:val="28"/>
                <w:lang w:eastAsia="ru-RU"/>
              </w:rPr>
            </w:pPr>
          </w:p>
        </w:tc>
        <w:tc>
          <w:tcPr>
            <w:tcW w:w="5811" w:type="dxa"/>
          </w:tcPr>
          <w:p w:rsidR="00B12BDB" w:rsidRPr="00962410" w:rsidRDefault="00B12BDB" w:rsidP="00134B3F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62410">
              <w:rPr>
                <w:rFonts w:ascii="PT Astra Serif" w:hAnsi="PT Astra Serif"/>
                <w:sz w:val="28"/>
                <w:szCs w:val="28"/>
              </w:rPr>
              <w:t xml:space="preserve">Приложение № 1 к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постановлению</w:t>
            </w:r>
          </w:p>
          <w:p w:rsidR="00E2103E" w:rsidRDefault="00B12BDB" w:rsidP="00134B3F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E2103E">
              <w:rPr>
                <w:rFonts w:ascii="PT Astra Serif" w:hAnsi="PT Astra Serif"/>
                <w:sz w:val="28"/>
                <w:szCs w:val="28"/>
              </w:rPr>
              <w:t>МО</w:t>
            </w:r>
          </w:p>
          <w:p w:rsidR="00E2103E" w:rsidRDefault="00B12BDB" w:rsidP="00134B3F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E2103E">
              <w:rPr>
                <w:rFonts w:ascii="PT Astra Serif" w:hAnsi="PT Astra Serif"/>
                <w:sz w:val="28"/>
                <w:szCs w:val="28"/>
              </w:rPr>
              <w:t>Старокулаткинский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962410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B12BDB" w:rsidRPr="00962410" w:rsidRDefault="00B12BDB" w:rsidP="00134B3F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62410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</w:p>
          <w:p w:rsidR="00B12BDB" w:rsidRPr="00962410" w:rsidRDefault="00B12BDB" w:rsidP="00134B3F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62410">
              <w:rPr>
                <w:rFonts w:ascii="PT Astra Serif" w:hAnsi="PT Astra Serif"/>
                <w:sz w:val="28"/>
                <w:szCs w:val="28"/>
              </w:rPr>
              <w:t>от  ___________ №  ____</w:t>
            </w:r>
          </w:p>
          <w:p w:rsidR="00B12BDB" w:rsidRPr="00182964" w:rsidRDefault="00B12BDB" w:rsidP="00134B3F">
            <w:pPr>
              <w:jc w:val="center"/>
              <w:rPr>
                <w:rFonts w:ascii="PT Astra Serif" w:hAnsi="PT Astra Serif"/>
                <w:sz w:val="28"/>
                <w:lang w:eastAsia="ru-RU"/>
              </w:rPr>
            </w:pPr>
          </w:p>
        </w:tc>
      </w:tr>
    </w:tbl>
    <w:p w:rsidR="00B12BDB" w:rsidRPr="001F0399" w:rsidRDefault="00B12BDB" w:rsidP="00B12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1F03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F0399" w:rsidRPr="001F0399">
        <w:rPr>
          <w:rFonts w:ascii="Times New Roman" w:hAnsi="Times New Roman" w:cs="Times New Roman"/>
          <w:b/>
          <w:sz w:val="28"/>
          <w:szCs w:val="28"/>
        </w:rPr>
        <w:t xml:space="preserve">по муниципальному земельному контролю </w:t>
      </w:r>
      <w:r w:rsidR="001F0399" w:rsidRPr="001F039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74E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0399" w:rsidRPr="001F0399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1F0399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1F0399" w:rsidRPr="001F0399">
        <w:rPr>
          <w:rFonts w:ascii="Times New Roman" w:hAnsi="Times New Roman" w:cs="Times New Roman"/>
          <w:b/>
          <w:bCs/>
          <w:sz w:val="28"/>
          <w:szCs w:val="28"/>
        </w:rPr>
        <w:t>Старокулаткинский</w:t>
      </w:r>
      <w:proofErr w:type="spellEnd"/>
      <w:r w:rsidRPr="001F0399">
        <w:rPr>
          <w:rFonts w:ascii="Times New Roman" w:hAnsi="Times New Roman" w:cs="Times New Roman"/>
          <w:b/>
          <w:bCs/>
          <w:sz w:val="28"/>
          <w:szCs w:val="28"/>
        </w:rPr>
        <w:t xml:space="preserve"> район» Ульяновской области </w:t>
      </w:r>
    </w:p>
    <w:p w:rsidR="00E72552" w:rsidRDefault="00E72552" w:rsidP="00E72552">
      <w:pPr>
        <w:pStyle w:val="20"/>
        <w:shd w:val="clear" w:color="auto" w:fill="auto"/>
        <w:spacing w:before="0"/>
        <w:ind w:left="160" w:firstLine="0"/>
      </w:pPr>
      <w:r>
        <w:t>Раздел 1. Анализ текущего состояния осуществления вида контроля,</w:t>
      </w:r>
      <w:r>
        <w:br/>
        <w:t>описание текущего уровня развития профилактической деятельности</w:t>
      </w:r>
      <w:r>
        <w:br/>
        <w:t>контрольного (надзорного) органа, характеристика проблем, на решение</w:t>
      </w:r>
      <w:r>
        <w:br/>
        <w:t>которых направлена программа профилактики рисков причинения вреда.</w:t>
      </w:r>
    </w:p>
    <w:p w:rsidR="00E72552" w:rsidRDefault="00E72552" w:rsidP="00E72552">
      <w:pPr>
        <w:pStyle w:val="20"/>
        <w:shd w:val="clear" w:color="auto" w:fill="auto"/>
        <w:spacing w:before="0"/>
        <w:ind w:right="220" w:firstLine="580"/>
        <w:jc w:val="both"/>
      </w:pPr>
      <w:r>
        <w:t>На территории муниципального образования «</w:t>
      </w:r>
      <w:proofErr w:type="spellStart"/>
      <w:r>
        <w:t>Старокулаткинский</w:t>
      </w:r>
      <w:proofErr w:type="spellEnd"/>
      <w:r>
        <w:t xml:space="preserve"> район» Ульяновской области осуществляется муниципальный земельный контроль.</w:t>
      </w:r>
    </w:p>
    <w:p w:rsidR="00E72552" w:rsidRDefault="00E72552" w:rsidP="00E72552">
      <w:pPr>
        <w:pStyle w:val="20"/>
        <w:shd w:val="clear" w:color="auto" w:fill="auto"/>
        <w:spacing w:before="0"/>
        <w:ind w:right="220" w:firstLine="580"/>
        <w:jc w:val="both"/>
      </w:pPr>
      <w: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>
        <w:t>контролю за</w:t>
      </w:r>
      <w:proofErr w:type="gramEnd"/>
      <w:r>
        <w:t xml:space="preserve"> соблюдением юридическими лицами, индивидуальными предпринимателями требований Российской Федерации, законодательства Ульяновской области, за нарушение которых законодательством Российской Федерации, предусмотрена административная ответственность и по организации и проведению мероприятий по профилактике указанных требований.</w:t>
      </w:r>
    </w:p>
    <w:p w:rsidR="00E72552" w:rsidRDefault="00E72552" w:rsidP="00E72552">
      <w:pPr>
        <w:pStyle w:val="20"/>
        <w:shd w:val="clear" w:color="auto" w:fill="auto"/>
        <w:spacing w:before="0"/>
        <w:ind w:firstLine="580"/>
        <w:jc w:val="both"/>
      </w:pPr>
      <w:r>
        <w:t>Предметом муниципального земельного контроля являются:</w:t>
      </w:r>
    </w:p>
    <w:p w:rsidR="00E72552" w:rsidRDefault="00E72552" w:rsidP="00E72552">
      <w:pPr>
        <w:pStyle w:val="20"/>
        <w:numPr>
          <w:ilvl w:val="0"/>
          <w:numId w:val="4"/>
        </w:numPr>
        <w:shd w:val="clear" w:color="auto" w:fill="auto"/>
        <w:tabs>
          <w:tab w:val="left" w:pos="876"/>
        </w:tabs>
        <w:spacing w:before="0"/>
        <w:ind w:right="220" w:firstLine="580"/>
        <w:jc w:val="both"/>
      </w:pPr>
      <w:r>
        <w:t xml:space="preserve">соблюдение установленного земельным законодательством и нормативно-правовыми актами органов местного самоуправления </w:t>
      </w:r>
      <w:proofErr w:type="spellStart"/>
      <w:r>
        <w:t>Старокулаткинского</w:t>
      </w:r>
      <w:proofErr w:type="spellEnd"/>
      <w:r>
        <w:t xml:space="preserve"> района порядка использования объектов земельных отношений, исключающего самовольное занятие земельных участков или использование земельных участков без оформления в установленном порядке документов, удостоверяющих право на объекты земельных отношений;</w:t>
      </w:r>
    </w:p>
    <w:p w:rsidR="00E72552" w:rsidRDefault="00E72552" w:rsidP="00E72552">
      <w:pPr>
        <w:pStyle w:val="20"/>
        <w:numPr>
          <w:ilvl w:val="0"/>
          <w:numId w:val="4"/>
        </w:numPr>
        <w:shd w:val="clear" w:color="auto" w:fill="auto"/>
        <w:tabs>
          <w:tab w:val="left" w:pos="876"/>
        </w:tabs>
        <w:spacing w:before="0"/>
        <w:ind w:right="220" w:firstLine="580"/>
        <w:jc w:val="both"/>
      </w:pPr>
      <w:r>
        <w:t>соблюдение порядка передачи прав пользования объектами земельных отношений;</w:t>
      </w:r>
    </w:p>
    <w:p w:rsidR="00E72552" w:rsidRDefault="00E72552" w:rsidP="00E72552">
      <w:pPr>
        <w:pStyle w:val="20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right="220" w:firstLine="580"/>
        <w:jc w:val="both"/>
      </w:pPr>
      <w:r>
        <w:t>использование объектов земельных отношений в соответствии с их целевым назначением и разрешенным видом использования.</w:t>
      </w:r>
    </w:p>
    <w:p w:rsidR="00E72552" w:rsidRDefault="00E72552" w:rsidP="00E72552">
      <w:pPr>
        <w:pStyle w:val="20"/>
        <w:shd w:val="clear" w:color="auto" w:fill="auto"/>
        <w:spacing w:before="0"/>
        <w:ind w:right="220" w:firstLine="580"/>
        <w:jc w:val="both"/>
      </w:pPr>
      <w:r>
        <w:t>Муниципальный земельный контроль осуществляется посредством проведения плановых и внеплановых проверок.</w:t>
      </w:r>
    </w:p>
    <w:p w:rsidR="00E72552" w:rsidRDefault="00E72552" w:rsidP="00E72552">
      <w:pPr>
        <w:pStyle w:val="20"/>
        <w:shd w:val="clear" w:color="auto" w:fill="auto"/>
        <w:spacing w:before="0"/>
        <w:ind w:right="220" w:firstLine="580"/>
        <w:jc w:val="both"/>
      </w:pPr>
      <w:r>
        <w:t>В связи с тем, что в 2024 году продлены ограничения на проведение плановых проверок в отношении субъектов малого предпринимательства, проведение плановых проверок по муниципальному земельному контролю по соблюдению требований земельного законодательства в отношении юридических лиц и индивидуальных предпринимателей администрацией муниципального образования «</w:t>
      </w:r>
      <w:proofErr w:type="spellStart"/>
      <w:r>
        <w:t>Старокулаткинский</w:t>
      </w:r>
      <w:proofErr w:type="spellEnd"/>
      <w:r>
        <w:t xml:space="preserve"> район» Ульяновской области не проводились.</w:t>
      </w:r>
    </w:p>
    <w:p w:rsidR="00E72552" w:rsidRDefault="00E72552" w:rsidP="00E72552">
      <w:pPr>
        <w:pStyle w:val="20"/>
        <w:shd w:val="clear" w:color="auto" w:fill="auto"/>
        <w:spacing w:before="0"/>
        <w:ind w:firstLine="700"/>
        <w:jc w:val="left"/>
      </w:pPr>
      <w:r>
        <w:t xml:space="preserve">Внеплановые проверки в отношении юридических лиц в 2024 году не </w:t>
      </w:r>
      <w:r>
        <w:lastRenderedPageBreak/>
        <w:t>проводились.</w:t>
      </w:r>
    </w:p>
    <w:p w:rsidR="00E72552" w:rsidRDefault="00E72552" w:rsidP="00E72552">
      <w:pPr>
        <w:pStyle w:val="20"/>
        <w:shd w:val="clear" w:color="auto" w:fill="auto"/>
        <w:tabs>
          <w:tab w:val="left" w:pos="7098"/>
        </w:tabs>
        <w:spacing w:before="0"/>
        <w:ind w:left="700" w:firstLine="0"/>
        <w:jc w:val="both"/>
      </w:pPr>
      <w:r>
        <w:t>Проводятся профилактические мероприятия:</w:t>
      </w:r>
      <w:r>
        <w:tab/>
      </w:r>
      <w:proofErr w:type="gramStart"/>
      <w:r>
        <w:t>контрольным</w:t>
      </w:r>
      <w:proofErr w:type="gramEnd"/>
    </w:p>
    <w:p w:rsidR="00E72552" w:rsidRDefault="00E72552" w:rsidP="00E72552">
      <w:pPr>
        <w:pStyle w:val="20"/>
        <w:shd w:val="clear" w:color="auto" w:fill="auto"/>
        <w:spacing w:before="0"/>
        <w:ind w:firstLine="0"/>
        <w:jc w:val="left"/>
      </w:pPr>
      <w:r>
        <w:t>(надзорным) органом в 2024 г. регулярно публикуется информация в сфере</w:t>
      </w:r>
    </w:p>
    <w:p w:rsidR="00E72552" w:rsidRDefault="00E72552" w:rsidP="00E72552">
      <w:pPr>
        <w:pStyle w:val="20"/>
        <w:shd w:val="clear" w:color="auto" w:fill="auto"/>
        <w:spacing w:before="0"/>
        <w:ind w:firstLine="0"/>
        <w:jc w:val="both"/>
      </w:pPr>
      <w:r>
        <w:t>муниципального земельного контроля в средствах массовой информации; ведется работа с населением по вопросам соблюдения требований земельного законодательства.</w:t>
      </w:r>
    </w:p>
    <w:p w:rsidR="00E72552" w:rsidRDefault="00E72552" w:rsidP="00E72552">
      <w:pPr>
        <w:pStyle w:val="20"/>
        <w:shd w:val="clear" w:color="auto" w:fill="auto"/>
        <w:spacing w:before="0"/>
        <w:ind w:firstLine="720"/>
        <w:jc w:val="both"/>
      </w:pPr>
      <w:proofErr w:type="gramStart"/>
      <w:r>
        <w:t>В целях предупреждения нарушений подконтрольными субъектами обязательных требований, устранения причин факторов и условий, способствующих нарушениям обязательных требований, администрацией муниципального образования «</w:t>
      </w:r>
      <w:proofErr w:type="spellStart"/>
      <w:r>
        <w:t>Старокулаткинский</w:t>
      </w:r>
      <w:proofErr w:type="spellEnd"/>
      <w:r>
        <w:t xml:space="preserve"> район» Ульяновской области в соответствии со статьей 44 Федерального закона от 31 июля 2021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</w:t>
      </w:r>
      <w:proofErr w:type="gramEnd"/>
      <w: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</w:t>
      </w:r>
      <w:proofErr w:type="gramStart"/>
      <w:r>
        <w:t>е-</w:t>
      </w:r>
      <w:proofErr w:type="gramEnd"/>
      <w:r>
        <w:t xml:space="preserve"> подконтрольные субъекты) обязательных требований земельного законодательства и снижения рисков причинения ущерба охраняемым законом ценностям, разработана настоящая программа, которая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E72552" w:rsidRDefault="00E72552" w:rsidP="00E72552">
      <w:pPr>
        <w:pStyle w:val="20"/>
        <w:shd w:val="clear" w:color="auto" w:fill="auto"/>
        <w:spacing w:before="0" w:after="240"/>
        <w:ind w:firstLine="720"/>
        <w:jc w:val="both"/>
      </w:pPr>
      <w:r>
        <w:t>Профилактика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E72552" w:rsidRDefault="00E72552" w:rsidP="00E72552">
      <w:pPr>
        <w:pStyle w:val="20"/>
        <w:shd w:val="clear" w:color="auto" w:fill="auto"/>
        <w:spacing w:before="0" w:after="274"/>
        <w:ind w:left="2900"/>
        <w:jc w:val="left"/>
      </w:pPr>
      <w:r>
        <w:t xml:space="preserve">Раздел 2. Цели и задачи </w:t>
      </w:r>
      <w:proofErr w:type="gramStart"/>
      <w:r>
        <w:t>реализации программы профилактики рисков причинения вреда</w:t>
      </w:r>
      <w:proofErr w:type="gramEnd"/>
    </w:p>
    <w:p w:rsidR="00E72552" w:rsidRDefault="00E72552" w:rsidP="00E72552">
      <w:pPr>
        <w:pStyle w:val="20"/>
        <w:shd w:val="clear" w:color="auto" w:fill="auto"/>
        <w:spacing w:before="0" w:line="260" w:lineRule="exact"/>
        <w:ind w:firstLine="720"/>
        <w:jc w:val="both"/>
      </w:pPr>
      <w:r>
        <w:t>Основными целями Программы профилактики являются:</w:t>
      </w:r>
    </w:p>
    <w:p w:rsidR="00E72552" w:rsidRDefault="00E72552" w:rsidP="00E72552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/>
        <w:ind w:firstLine="72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:rsidR="00E72552" w:rsidRDefault="00E72552" w:rsidP="00E72552">
      <w:pPr>
        <w:pStyle w:val="20"/>
        <w:numPr>
          <w:ilvl w:val="0"/>
          <w:numId w:val="5"/>
        </w:numPr>
        <w:shd w:val="clear" w:color="auto" w:fill="auto"/>
        <w:tabs>
          <w:tab w:val="left" w:pos="975"/>
        </w:tabs>
        <w:spacing w:before="0"/>
        <w:ind w:firstLine="72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2552" w:rsidRDefault="00E72552" w:rsidP="00E72552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before="0"/>
        <w:ind w:firstLine="72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72552" w:rsidRDefault="00E72552" w:rsidP="00E72552">
      <w:pPr>
        <w:pStyle w:val="20"/>
        <w:shd w:val="clear" w:color="auto" w:fill="auto"/>
        <w:spacing w:before="0" w:after="180"/>
        <w:ind w:firstLine="720"/>
        <w:jc w:val="both"/>
      </w:pPr>
      <w:r>
        <w:t>Проведение профилактических мероприятий программы профилактики направлено на решение следующих задач:</w:t>
      </w:r>
    </w:p>
    <w:p w:rsidR="00E72552" w:rsidRDefault="00E72552" w:rsidP="00E72552">
      <w:pPr>
        <w:pStyle w:val="20"/>
        <w:numPr>
          <w:ilvl w:val="0"/>
          <w:numId w:val="6"/>
        </w:numPr>
        <w:shd w:val="clear" w:color="auto" w:fill="auto"/>
        <w:tabs>
          <w:tab w:val="left" w:pos="975"/>
        </w:tabs>
        <w:spacing w:before="0"/>
        <w:ind w:firstLine="720"/>
        <w:jc w:val="both"/>
      </w:pPr>
      <w:r>
        <w:t xml:space="preserve">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ценностям;</w:t>
      </w:r>
    </w:p>
    <w:p w:rsidR="00E72552" w:rsidRDefault="00E72552" w:rsidP="00E72552">
      <w:pPr>
        <w:pStyle w:val="40"/>
        <w:shd w:val="clear" w:color="auto" w:fill="auto"/>
        <w:tabs>
          <w:tab w:val="left" w:pos="1004"/>
        </w:tabs>
        <w:ind w:right="540" w:firstLine="0"/>
      </w:pPr>
      <w:r>
        <w:t xml:space="preserve">         2.    Повышение правосознания и правовой культуры руководителей юридических лиц индивидуальных предпринимателей и граждан;</w:t>
      </w:r>
    </w:p>
    <w:p w:rsidR="00134B3F" w:rsidRDefault="00134B3F" w:rsidP="00B12BDB">
      <w:pPr>
        <w:shd w:val="clear" w:color="auto" w:fill="FFFFFF"/>
        <w:rPr>
          <w:color w:val="000000" w:themeColor="text1"/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Default="00E72552" w:rsidP="00E72552">
      <w:pPr>
        <w:pStyle w:val="40"/>
        <w:framePr w:w="9245" w:h="4009" w:hRule="exact" w:wrap="none" w:vAnchor="page" w:hAnchor="page" w:x="1658" w:y="286"/>
        <w:shd w:val="clear" w:color="auto" w:fill="auto"/>
        <w:tabs>
          <w:tab w:val="left" w:pos="1137"/>
        </w:tabs>
        <w:spacing w:line="302" w:lineRule="exact"/>
        <w:ind w:firstLine="0"/>
      </w:pPr>
      <w:r>
        <w:t xml:space="preserve">3.Оценка возможной </w:t>
      </w:r>
      <w:r>
        <w:rPr>
          <w:rStyle w:val="40pt"/>
        </w:rPr>
        <w:t xml:space="preserve">угрозы </w:t>
      </w:r>
      <w:r>
        <w:t>причинения, либо причинения вреда</w:t>
      </w:r>
    </w:p>
    <w:p w:rsidR="00E72552" w:rsidRDefault="00E72552" w:rsidP="00E72552">
      <w:pPr>
        <w:pStyle w:val="40"/>
        <w:framePr w:w="9245" w:h="4009" w:hRule="exact" w:wrap="none" w:vAnchor="page" w:hAnchor="page" w:x="1658" w:y="286"/>
        <w:shd w:val="clear" w:color="auto" w:fill="auto"/>
        <w:tabs>
          <w:tab w:val="left" w:pos="5976"/>
        </w:tabs>
        <w:spacing w:line="302" w:lineRule="exact"/>
        <w:ind w:firstLine="0"/>
        <w:jc w:val="left"/>
      </w:pPr>
      <w:r>
        <w:t>жизни, здоровью граждан, выработка и реализация профилактических мер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пособствующих ее снижению:</w:t>
      </w:r>
      <w:r>
        <w:tab/>
      </w:r>
    </w:p>
    <w:p w:rsidR="00E72552" w:rsidRDefault="00E72552" w:rsidP="00E72552">
      <w:pPr>
        <w:pStyle w:val="40"/>
        <w:framePr w:w="9245" w:h="4009" w:hRule="exact" w:wrap="none" w:vAnchor="page" w:hAnchor="page" w:x="1658" w:y="286"/>
        <w:shd w:val="clear" w:color="auto" w:fill="auto"/>
        <w:tabs>
          <w:tab w:val="left" w:pos="1014"/>
        </w:tabs>
        <w:spacing w:line="302" w:lineRule="exact"/>
        <w:ind w:right="540" w:firstLine="0"/>
      </w:pPr>
      <w:r>
        <w:t xml:space="preserve">4. Выявление факторов угрозы причинения, либо причинения вреда жизни, </w:t>
      </w:r>
      <w:r>
        <w:rPr>
          <w:rStyle w:val="40pt"/>
        </w:rPr>
        <w:t xml:space="preserve">здоровью граждан, </w:t>
      </w:r>
      <w:r>
        <w:t xml:space="preserve">причин и условии, способствующих нарушению </w:t>
      </w:r>
      <w:r>
        <w:rPr>
          <w:rStyle w:val="40pt"/>
        </w:rPr>
        <w:t xml:space="preserve">обязательных </w:t>
      </w:r>
      <w:r>
        <w:t xml:space="preserve">требовании, определение способов устранения или снижения </w:t>
      </w:r>
      <w:r>
        <w:rPr>
          <w:rStyle w:val="40pt"/>
        </w:rPr>
        <w:t>угрозы:</w:t>
      </w:r>
    </w:p>
    <w:p w:rsidR="00E72552" w:rsidRDefault="00E72552" w:rsidP="00E72552">
      <w:pPr>
        <w:pStyle w:val="40"/>
        <w:framePr w:w="9245" w:h="4009" w:hRule="exact" w:wrap="none" w:vAnchor="page" w:hAnchor="page" w:x="1658" w:y="286"/>
        <w:shd w:val="clear" w:color="auto" w:fill="auto"/>
        <w:tabs>
          <w:tab w:val="left" w:pos="1009"/>
        </w:tabs>
        <w:spacing w:after="244" w:line="302" w:lineRule="exact"/>
        <w:ind w:right="540" w:firstLine="0"/>
      </w:pPr>
      <w:r>
        <w:t>5. Опенка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72552" w:rsidRDefault="00E72552" w:rsidP="00E72552">
      <w:pPr>
        <w:pStyle w:val="40"/>
        <w:framePr w:w="9245" w:h="4009" w:hRule="exact" w:wrap="none" w:vAnchor="page" w:hAnchor="page" w:x="1658" w:y="286"/>
        <w:shd w:val="clear" w:color="auto" w:fill="auto"/>
        <w:spacing w:line="298" w:lineRule="exact"/>
        <w:ind w:left="2620" w:right="540"/>
        <w:jc w:val="left"/>
      </w:pPr>
      <w:r>
        <w:t>Раздел 3. Перечень профилактических мероприятий, сроки (периодичность) их проведения</w:t>
      </w:r>
    </w:p>
    <w:p w:rsidR="00E72552" w:rsidRDefault="00E72552" w:rsidP="00E72552">
      <w:pPr>
        <w:rPr>
          <w:sz w:val="28"/>
          <w:szCs w:val="28"/>
        </w:rPr>
      </w:pPr>
    </w:p>
    <w:tbl>
      <w:tblPr>
        <w:tblpPr w:leftFromText="180" w:rightFromText="180" w:vertAnchor="text" w:horzAnchor="margin" w:tblpY="24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422"/>
        <w:gridCol w:w="1877"/>
        <w:gridCol w:w="3379"/>
      </w:tblGrid>
      <w:tr w:rsidR="00E72552" w:rsidTr="00E72552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E72552" w:rsidRDefault="00E72552" w:rsidP="00E72552">
            <w:pPr>
              <w:pStyle w:val="20"/>
              <w:shd w:val="clear" w:color="auto" w:fill="auto"/>
              <w:spacing w:before="60" w:line="220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52" w:rsidRDefault="00E72552" w:rsidP="00E72552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Наименование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2552" w:rsidRDefault="00E72552" w:rsidP="00E72552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Срок исполнения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left="300" w:firstLine="0"/>
              <w:jc w:val="left"/>
            </w:pPr>
            <w:r>
              <w:rPr>
                <w:rStyle w:val="211pt"/>
              </w:rPr>
              <w:t>Структурное подразделение, ответственное за реализацию</w:t>
            </w:r>
          </w:p>
        </w:tc>
      </w:tr>
      <w:tr w:rsidR="00E72552" w:rsidTr="00E72552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64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Отдел по управлению муниципальной собственностью</w:t>
            </w:r>
            <w:r w:rsidR="00B0160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 земельным отношениям администрации МО «</w:t>
            </w:r>
            <w:proofErr w:type="spellStart"/>
            <w:r>
              <w:rPr>
                <w:rStyle w:val="211pt"/>
              </w:rPr>
              <w:t>Старокулаткинский</w:t>
            </w:r>
            <w:proofErr w:type="spellEnd"/>
            <w:r>
              <w:rPr>
                <w:rStyle w:val="211pt"/>
              </w:rPr>
              <w:t xml:space="preserve"> район»</w:t>
            </w:r>
          </w:p>
        </w:tc>
      </w:tr>
      <w:tr w:rsidR="00E72552" w:rsidTr="00E72552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Отдел по управлению муниципальной собственностью</w:t>
            </w:r>
            <w:r w:rsidR="00B01609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 земельным отношениям администрации МО «</w:t>
            </w:r>
            <w:proofErr w:type="spellStart"/>
            <w:r>
              <w:rPr>
                <w:rStyle w:val="211pt"/>
              </w:rPr>
              <w:t>Старокулаткинский</w:t>
            </w:r>
            <w:proofErr w:type="spellEnd"/>
            <w:r>
              <w:rPr>
                <w:rStyle w:val="211pt"/>
              </w:rPr>
              <w:t xml:space="preserve"> район»</w:t>
            </w:r>
          </w:p>
        </w:tc>
      </w:tr>
      <w:tr w:rsidR="00E72552" w:rsidTr="00E72552">
        <w:tblPrEx>
          <w:tblCellMar>
            <w:top w:w="0" w:type="dxa"/>
            <w:bottom w:w="0" w:type="dxa"/>
          </w:tblCellMar>
        </w:tblPrEx>
        <w:trPr>
          <w:trHeight w:hRule="exact" w:val="57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Консультирование:</w:t>
            </w:r>
          </w:p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1.Инспекторы осуществляют консультирование контролируемых лиц и их представителей:</w:t>
            </w:r>
          </w:p>
          <w:p w:rsidR="00E72552" w:rsidRDefault="00E72552" w:rsidP="00E7255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4"/>
              </w:tabs>
              <w:spacing w:before="0" w:line="259" w:lineRule="exact"/>
              <w:ind w:firstLine="440"/>
              <w:jc w:val="left"/>
            </w:pPr>
            <w:r>
              <w:rPr>
                <w:rStyle w:val="211pt"/>
              </w:rPr>
              <w:t>в виде устных разъяснений по телефону, посредством видеоконференц-связи,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72552" w:rsidRDefault="00E72552" w:rsidP="00E72552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0" w:line="259" w:lineRule="exact"/>
              <w:ind w:firstLine="440"/>
              <w:jc w:val="left"/>
            </w:pPr>
            <w:r>
              <w:rPr>
                <w:rStyle w:val="211pt"/>
              </w:rPr>
              <w:t>посредством размещения на официальном сайте администрации  МО «</w:t>
            </w:r>
            <w:proofErr w:type="spellStart"/>
            <w:r>
              <w:rPr>
                <w:rStyle w:val="211pt"/>
              </w:rPr>
              <w:t>Старокулаткинский</w:t>
            </w:r>
            <w:proofErr w:type="spellEnd"/>
            <w:r>
              <w:rPr>
                <w:rStyle w:val="211pt"/>
              </w:rPr>
              <w:t xml:space="preserve"> район» Ульяновской области письменного разъяснения по однотипным обращениям контролируемых лиц и их представителей, подписанного уполномоченным должностным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552" w:rsidRDefault="00E72552" w:rsidP="00E72552">
            <w:pPr>
              <w:pStyle w:val="20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"/>
              </w:rPr>
              <w:t>Отдел по управлению муниципальной собственностью и земельным отношениям администрации МО «</w:t>
            </w:r>
            <w:proofErr w:type="spellStart"/>
            <w:r>
              <w:rPr>
                <w:rStyle w:val="211pt"/>
              </w:rPr>
              <w:t>Старокулаткинский</w:t>
            </w:r>
            <w:proofErr w:type="spellEnd"/>
            <w:r>
              <w:rPr>
                <w:rStyle w:val="211pt"/>
              </w:rPr>
              <w:t xml:space="preserve"> район»</w:t>
            </w:r>
          </w:p>
        </w:tc>
      </w:tr>
    </w:tbl>
    <w:p w:rsidR="00E72552" w:rsidRDefault="00E72552" w:rsidP="00E72552">
      <w:pPr>
        <w:ind w:firstLine="708"/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Default="00E72552" w:rsidP="00B01609">
      <w:pPr>
        <w:ind w:left="-709"/>
        <w:jc w:val="right"/>
        <w:rPr>
          <w:sz w:val="28"/>
          <w:szCs w:val="28"/>
        </w:rPr>
      </w:pPr>
    </w:p>
    <w:tbl>
      <w:tblPr>
        <w:tblStyle w:val="ab"/>
        <w:tblW w:w="10098" w:type="dxa"/>
        <w:tblInd w:w="-601" w:type="dxa"/>
        <w:tblLayout w:type="fixed"/>
        <w:tblLook w:val="04A0"/>
      </w:tblPr>
      <w:tblGrid>
        <w:gridCol w:w="675"/>
        <w:gridCol w:w="7972"/>
        <w:gridCol w:w="459"/>
        <w:gridCol w:w="992"/>
      </w:tblGrid>
      <w:tr w:rsidR="00B01609" w:rsidTr="00B01609">
        <w:trPr>
          <w:trHeight w:val="4255"/>
        </w:trPr>
        <w:tc>
          <w:tcPr>
            <w:tcW w:w="675" w:type="dxa"/>
          </w:tcPr>
          <w:p w:rsidR="00B01609" w:rsidRDefault="00B01609" w:rsidP="00E72552">
            <w:pPr>
              <w:rPr>
                <w:sz w:val="28"/>
                <w:szCs w:val="28"/>
              </w:rPr>
            </w:pPr>
          </w:p>
        </w:tc>
        <w:tc>
          <w:tcPr>
            <w:tcW w:w="7972" w:type="dxa"/>
          </w:tcPr>
          <w:p w:rsidR="00B01609" w:rsidRPr="00B01609" w:rsidRDefault="00B01609" w:rsidP="00B01609">
            <w:pPr>
              <w:ind w:left="-108" w:right="4076" w:firstLine="108"/>
              <w:rPr>
                <w:rFonts w:ascii="Times New Roman" w:hAnsi="Times New Roman" w:cs="Times New Roman"/>
              </w:rPr>
            </w:pPr>
            <w:r w:rsidRPr="00B01609">
              <w:rPr>
                <w:rFonts w:ascii="Times New Roman" w:hAnsi="Times New Roman" w:cs="Times New Roman"/>
              </w:rPr>
              <w:t>лицом Контрольного органа. 2.Индивидуальное консультирование на личном приеме каждого заявителя.</w:t>
            </w:r>
          </w:p>
          <w:p w:rsidR="00B01609" w:rsidRPr="00B01609" w:rsidRDefault="00B01609" w:rsidP="00B01609">
            <w:pPr>
              <w:tabs>
                <w:tab w:val="left" w:pos="1689"/>
              </w:tabs>
              <w:ind w:left="34" w:right="4145"/>
              <w:rPr>
                <w:rFonts w:ascii="Times New Roman" w:hAnsi="Times New Roman" w:cs="Times New Roman"/>
              </w:rPr>
            </w:pPr>
            <w:r w:rsidRPr="00B01609">
              <w:rPr>
                <w:rFonts w:ascii="Times New Roman" w:hAnsi="Times New Roman" w:cs="Times New Roman"/>
              </w:rPr>
              <w:t>13.Письменное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B01609" w:rsidRDefault="00B01609" w:rsidP="00B01609">
            <w:pPr>
              <w:tabs>
                <w:tab w:val="left" w:pos="1689"/>
              </w:tabs>
              <w:ind w:left="34" w:right="4145"/>
            </w:pPr>
            <w:r w:rsidRPr="00B01609">
              <w:rPr>
                <w:rFonts w:ascii="Times New Roman" w:hAnsi="Times New Roman" w:cs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r w:rsidRPr="00B01609">
              <w:rPr>
                <w:rStyle w:val="50"/>
                <w:rFonts w:eastAsiaTheme="minorHAnsi"/>
              </w:rPr>
              <w:t>законом</w:t>
            </w:r>
            <w:r w:rsidRPr="00B01609">
              <w:rPr>
                <w:rFonts w:ascii="Times New Roman" w:hAnsi="Times New Roman" w:cs="Times New Roman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01609" w:rsidRDefault="00B01609" w:rsidP="00E72552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01609" w:rsidRDefault="00B01609" w:rsidP="00E725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1609" w:rsidRDefault="00B01609" w:rsidP="00E72552">
            <w:pPr>
              <w:rPr>
                <w:sz w:val="28"/>
                <w:szCs w:val="28"/>
              </w:rPr>
            </w:pPr>
          </w:p>
        </w:tc>
      </w:tr>
    </w:tbl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B01609" w:rsidRPr="00B01609" w:rsidRDefault="00B01609" w:rsidP="00B01609">
      <w:pPr>
        <w:framePr w:w="8952" w:h="586" w:hRule="exact" w:wrap="none" w:vAnchor="page" w:hAnchor="page" w:x="1754" w:y="6138"/>
        <w:spacing w:line="264" w:lineRule="exact"/>
        <w:ind w:left="2420" w:right="900"/>
        <w:rPr>
          <w:rFonts w:ascii="Times New Roman" w:hAnsi="Times New Roman" w:cs="Times New Roman"/>
        </w:rPr>
      </w:pPr>
      <w:r w:rsidRPr="00B01609">
        <w:rPr>
          <w:rFonts w:ascii="Times New Roman" w:hAnsi="Times New Roman" w:cs="Times New Roman"/>
        </w:rPr>
        <w:t xml:space="preserve">Раздел 4. Показатели результативности и эффективности </w:t>
      </w:r>
      <w:proofErr w:type="gramStart"/>
      <w:r w:rsidRPr="00B01609">
        <w:rPr>
          <w:rFonts w:ascii="Times New Roman" w:hAnsi="Times New Roman" w:cs="Times New Roman"/>
        </w:rPr>
        <w:t>программы профилактики рисков причинения вреда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5923"/>
        <w:gridCol w:w="2429"/>
      </w:tblGrid>
      <w:tr w:rsidR="00B01609" w:rsidTr="00B628B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60" w:line="22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Величина</w:t>
            </w:r>
          </w:p>
        </w:tc>
      </w:tr>
      <w:tr w:rsidR="00B01609" w:rsidTr="00B628B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10" w:lineRule="exact"/>
              <w:ind w:left="220" w:firstLine="0"/>
              <w:jc w:val="left"/>
            </w:pPr>
            <w:r>
              <w:rPr>
                <w:rStyle w:val="2ArialNarrow105pt"/>
              </w:rPr>
              <w:t>1</w:t>
            </w:r>
            <w:r>
              <w:rPr>
                <w:rStyle w:val="2Verdana10pt"/>
                <w:b w:val="0"/>
                <w:bCs w:val="0"/>
              </w:rPr>
              <w:t>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211pt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100 %</w:t>
            </w:r>
          </w:p>
        </w:tc>
      </w:tr>
      <w:tr w:rsidR="00B01609" w:rsidTr="00B628B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211pt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 xml:space="preserve">100 </w:t>
            </w:r>
            <w:r>
              <w:rPr>
                <w:rStyle w:val="2SegoeUI105pt"/>
              </w:rPr>
              <w:t>%</w:t>
            </w:r>
            <w:r>
              <w:rPr>
                <w:rStyle w:val="211pt"/>
              </w:rPr>
              <w:t xml:space="preserve"> от числа </w:t>
            </w:r>
            <w:proofErr w:type="gramStart"/>
            <w:r>
              <w:rPr>
                <w:rStyle w:val="211pt"/>
              </w:rPr>
              <w:t>обратившихся</w:t>
            </w:r>
            <w:proofErr w:type="gramEnd"/>
          </w:p>
        </w:tc>
      </w:tr>
      <w:tr w:rsidR="00B01609" w:rsidTr="00B628B7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Количество проведенных профилактических мероприятий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09" w:rsidRDefault="00B01609" w:rsidP="00B628B7">
            <w:pPr>
              <w:pStyle w:val="20"/>
              <w:framePr w:w="8952" w:h="4498" w:wrap="none" w:vAnchor="page" w:hAnchor="page" w:x="1754" w:y="6945"/>
              <w:shd w:val="clear" w:color="auto" w:fill="auto"/>
              <w:spacing w:before="0" w:line="259" w:lineRule="exact"/>
              <w:ind w:firstLine="0"/>
            </w:pPr>
            <w:r>
              <w:rPr>
                <w:rStyle w:val="211pt"/>
              </w:rPr>
              <w:t>не менее 8 мероприятий, проведенных контрольным органом</w:t>
            </w:r>
          </w:p>
        </w:tc>
      </w:tr>
    </w:tbl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E72552" w:rsidRPr="00E72552" w:rsidRDefault="00E72552" w:rsidP="00E72552">
      <w:pPr>
        <w:rPr>
          <w:sz w:val="28"/>
          <w:szCs w:val="28"/>
        </w:rPr>
      </w:pPr>
    </w:p>
    <w:p w:rsidR="00B12BDB" w:rsidRPr="00E72552" w:rsidRDefault="00B12BDB" w:rsidP="00E72552">
      <w:pPr>
        <w:rPr>
          <w:sz w:val="28"/>
          <w:szCs w:val="28"/>
        </w:rPr>
      </w:pPr>
    </w:p>
    <w:sectPr w:rsidR="00B12BDB" w:rsidRPr="00E72552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52" w:rsidRDefault="00E72552" w:rsidP="00D15A85">
      <w:pPr>
        <w:spacing w:after="0" w:line="240" w:lineRule="auto"/>
      </w:pPr>
      <w:r>
        <w:separator/>
      </w:r>
    </w:p>
  </w:endnote>
  <w:endnote w:type="continuationSeparator" w:id="1">
    <w:p w:rsidR="00E72552" w:rsidRDefault="00E72552" w:rsidP="00D1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52" w:rsidRDefault="00E72552" w:rsidP="00D15A85">
      <w:pPr>
        <w:spacing w:after="0" w:line="240" w:lineRule="auto"/>
      </w:pPr>
      <w:r>
        <w:separator/>
      </w:r>
    </w:p>
  </w:footnote>
  <w:footnote w:type="continuationSeparator" w:id="1">
    <w:p w:rsidR="00E72552" w:rsidRDefault="00E72552" w:rsidP="00D1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F839FC"/>
    <w:multiLevelType w:val="multilevel"/>
    <w:tmpl w:val="70C4A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121CB"/>
    <w:multiLevelType w:val="multilevel"/>
    <w:tmpl w:val="400E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35058"/>
    <w:multiLevelType w:val="multilevel"/>
    <w:tmpl w:val="0D90C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D78EF"/>
    <w:multiLevelType w:val="multilevel"/>
    <w:tmpl w:val="85E41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C0166"/>
    <w:multiLevelType w:val="multilevel"/>
    <w:tmpl w:val="400EB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654A"/>
    <w:rsid w:val="00050C22"/>
    <w:rsid w:val="000A1210"/>
    <w:rsid w:val="000C6765"/>
    <w:rsid w:val="000D3750"/>
    <w:rsid w:val="001022F6"/>
    <w:rsid w:val="00106C57"/>
    <w:rsid w:val="00134B3F"/>
    <w:rsid w:val="00150DDA"/>
    <w:rsid w:val="001523A3"/>
    <w:rsid w:val="001A5D08"/>
    <w:rsid w:val="001F0399"/>
    <w:rsid w:val="00245F1C"/>
    <w:rsid w:val="0025448F"/>
    <w:rsid w:val="002571A3"/>
    <w:rsid w:val="002A4A91"/>
    <w:rsid w:val="002F2F5E"/>
    <w:rsid w:val="00396668"/>
    <w:rsid w:val="003E1A28"/>
    <w:rsid w:val="004050B5"/>
    <w:rsid w:val="004073F3"/>
    <w:rsid w:val="00443C3C"/>
    <w:rsid w:val="00447B46"/>
    <w:rsid w:val="00457CCE"/>
    <w:rsid w:val="00561434"/>
    <w:rsid w:val="005B726E"/>
    <w:rsid w:val="005D6EF1"/>
    <w:rsid w:val="005E6E36"/>
    <w:rsid w:val="006A1744"/>
    <w:rsid w:val="006F3981"/>
    <w:rsid w:val="00720002"/>
    <w:rsid w:val="00720616"/>
    <w:rsid w:val="00746F9A"/>
    <w:rsid w:val="0076130F"/>
    <w:rsid w:val="007818CA"/>
    <w:rsid w:val="0078443E"/>
    <w:rsid w:val="007B6444"/>
    <w:rsid w:val="00802A67"/>
    <w:rsid w:val="00804C18"/>
    <w:rsid w:val="008154C2"/>
    <w:rsid w:val="008E7DF5"/>
    <w:rsid w:val="00920421"/>
    <w:rsid w:val="009265B1"/>
    <w:rsid w:val="00934BF2"/>
    <w:rsid w:val="00956820"/>
    <w:rsid w:val="0095771B"/>
    <w:rsid w:val="009D454E"/>
    <w:rsid w:val="009E0193"/>
    <w:rsid w:val="00A620AD"/>
    <w:rsid w:val="00AE7F20"/>
    <w:rsid w:val="00B01609"/>
    <w:rsid w:val="00B12BDB"/>
    <w:rsid w:val="00B706C7"/>
    <w:rsid w:val="00BD46B4"/>
    <w:rsid w:val="00C74E3B"/>
    <w:rsid w:val="00C817C0"/>
    <w:rsid w:val="00C8703F"/>
    <w:rsid w:val="00CC7251"/>
    <w:rsid w:val="00CE295A"/>
    <w:rsid w:val="00D15A85"/>
    <w:rsid w:val="00D2386D"/>
    <w:rsid w:val="00D437D5"/>
    <w:rsid w:val="00E2103E"/>
    <w:rsid w:val="00E54854"/>
    <w:rsid w:val="00E65317"/>
    <w:rsid w:val="00E72552"/>
    <w:rsid w:val="00F63058"/>
    <w:rsid w:val="00F87198"/>
    <w:rsid w:val="00F87F9B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Strong"/>
    <w:basedOn w:val="a0"/>
    <w:uiPriority w:val="22"/>
    <w:qFormat/>
    <w:rsid w:val="001022F6"/>
    <w:rPr>
      <w:b/>
      <w:bCs/>
    </w:rPr>
  </w:style>
  <w:style w:type="character" w:customStyle="1" w:styleId="3">
    <w:name w:val="Основной текст (3)_"/>
    <w:basedOn w:val="a0"/>
    <w:link w:val="30"/>
    <w:rsid w:val="001022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022F6"/>
    <w:rPr>
      <w:rFonts w:ascii="Arial" w:eastAsia="Arial" w:hAnsi="Arial" w:cs="Arial"/>
      <w:b/>
      <w:bCs/>
      <w:spacing w:val="110"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22F6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022F6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pacing w:val="110"/>
      <w:sz w:val="38"/>
      <w:szCs w:val="38"/>
    </w:rPr>
  </w:style>
  <w:style w:type="paragraph" w:styleId="a5">
    <w:name w:val="header"/>
    <w:basedOn w:val="a"/>
    <w:link w:val="a6"/>
    <w:uiPriority w:val="99"/>
    <w:semiHidden/>
    <w:unhideWhenUsed/>
    <w:rsid w:val="00D1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A85"/>
  </w:style>
  <w:style w:type="paragraph" w:styleId="a7">
    <w:name w:val="footer"/>
    <w:basedOn w:val="a"/>
    <w:link w:val="a8"/>
    <w:uiPriority w:val="99"/>
    <w:semiHidden/>
    <w:unhideWhenUsed/>
    <w:rsid w:val="00D1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A85"/>
  </w:style>
  <w:style w:type="paragraph" w:styleId="a9">
    <w:name w:val="No Spacing"/>
    <w:link w:val="aa"/>
    <w:uiPriority w:val="1"/>
    <w:qFormat/>
    <w:rsid w:val="00B12BD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B12BDB"/>
    <w:rPr>
      <w:rFonts w:eastAsiaTheme="minorEastAsia"/>
      <w:lang w:eastAsia="ru-RU"/>
    </w:rPr>
  </w:style>
  <w:style w:type="paragraph" w:customStyle="1" w:styleId="s1">
    <w:name w:val="s_1"/>
    <w:basedOn w:val="a"/>
    <w:rsid w:val="00B1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12B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E725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552"/>
    <w:pPr>
      <w:widowControl w:val="0"/>
      <w:shd w:val="clear" w:color="auto" w:fill="FFFFFF"/>
      <w:spacing w:before="360" w:after="0" w:line="302" w:lineRule="exact"/>
      <w:ind w:hanging="17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E725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Полужирный;Интервал 0 pt"/>
    <w:basedOn w:val="4"/>
    <w:rsid w:val="00E72552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"/>
    <w:rsid w:val="00E7255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72552"/>
    <w:pPr>
      <w:widowControl w:val="0"/>
      <w:shd w:val="clear" w:color="auto" w:fill="FFFFFF"/>
      <w:spacing w:after="0" w:line="307" w:lineRule="exact"/>
      <w:ind w:hanging="122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01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rsid w:val="00B0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0160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B016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sid w:val="00B0160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egoeUI105pt">
    <w:name w:val="Основной текст (2) + Segoe UI;10;5 pt;Полужирный;Курсив"/>
    <w:basedOn w:val="2"/>
    <w:rsid w:val="00B0160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27A-56C0-4B1D-9EB0-23683A6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Кумизо1</cp:lastModifiedBy>
  <cp:revision>2</cp:revision>
  <cp:lastPrinted>2021-12-27T06:10:00Z</cp:lastPrinted>
  <dcterms:created xsi:type="dcterms:W3CDTF">2024-10-16T10:44:00Z</dcterms:created>
  <dcterms:modified xsi:type="dcterms:W3CDTF">2024-10-16T10:44:00Z</dcterms:modified>
</cp:coreProperties>
</file>